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643" w:rsidRDefault="004B0643" w:rsidP="004B0643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cs-CZ"/>
        </w:rPr>
      </w:pPr>
      <w:r w:rsidRPr="004B064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cs-CZ"/>
        </w:rPr>
        <w:t>Kompenzační pomůcky</w:t>
      </w:r>
    </w:p>
    <w:p w:rsidR="00521856" w:rsidRPr="004B0643" w:rsidRDefault="00FB6505" w:rsidP="004B0643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cs-CZ"/>
        </w:rPr>
      </w:pPr>
      <w:r w:rsidRPr="00FB65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233680</wp:posOffset>
                </wp:positionV>
                <wp:extent cx="2360930" cy="18478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505" w:rsidRDefault="00FB65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0057" cy="1714500"/>
                                  <wp:effectExtent l="0" t="0" r="5715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208" cy="1717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18.4pt;width:185.9pt;height:145.5pt;z-index:25165926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" stroked="f">
                <v:textbox style="mso-fit-shape-to-text:t">
                  <w:txbxContent>
                    <w:p w:rsidR="00FB6505" w:rsidRDefault="00FB650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90057" cy="1714500"/>
                            <wp:effectExtent l="0" t="0" r="5715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208" cy="1717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643" w:rsidRPr="001C5549" w:rsidRDefault="004B0643" w:rsidP="00FB6505">
      <w:pPr>
        <w:shd w:val="clear" w:color="auto" w:fill="FFFFFF"/>
        <w:spacing w:line="240" w:lineRule="auto"/>
        <w:ind w:left="283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cs-CZ"/>
        </w:rPr>
      </w:pP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Kompenzační pomůcky jsou nástroje nebo zařízení, jejichž účelem je 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zmírnit handicap člověka se zdravotním postižením</w:t>
      </w:r>
      <w:r w:rsidR="00B30023" w:rsidRPr="001C554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, Měla by podpořit nebo nahradit ztracenou funkci, 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umožnit </w:t>
      </w:r>
      <w:r w:rsidR="00B30023" w:rsidRPr="001C554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člověku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co nejvyšší míru soběstačnosti</w:t>
      </w:r>
      <w:r w:rsidR="00B30023" w:rsidRPr="001C554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, 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zapojení </w:t>
      </w:r>
      <w:r w:rsidR="00B30023" w:rsidRPr="001C554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se 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do běžného </w:t>
      </w:r>
      <w:r w:rsidRPr="001C554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denního 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života</w:t>
      </w:r>
      <w:r w:rsidR="00B30023" w:rsidRPr="001C554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 xml:space="preserve"> nebo zjednodušit každodenní úkony (toaleta, pohyb)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Může se jednat např. o 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invalidní vozíky, chodítka, toaletní křesla, polohovací lůžka</w:t>
      </w:r>
      <w:r w:rsidR="00B30023" w:rsidRPr="001C554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.</w:t>
      </w:r>
    </w:p>
    <w:p w:rsidR="00B30023" w:rsidRPr="001C5549" w:rsidRDefault="00B30023" w:rsidP="00521856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C5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Výběru kompenzační pomůcky je zapotřebí věnovat dostatečnou </w:t>
      </w:r>
      <w:r w:rsidRPr="001C5549">
        <w:rPr>
          <w:rStyle w:val="Siln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pozornost i čas</w:t>
      </w:r>
      <w:r w:rsidRPr="001C55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 to z toho důvodu, že vybraná pomůcka má tzv. užitnou dobu po kterou bude klientovi sloužit a ne vždy lze kompenzační pomůcku vyměnit či vrátit.</w:t>
      </w:r>
    </w:p>
    <w:p w:rsidR="00B30023" w:rsidRDefault="00B30023" w:rsidP="00B300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Pomůcky jsou nejčastěji vybírány dle určitých kritérií. A to z hlediska 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uživatele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pomůcky 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(věk, mentální úroveň, mobilita, samostatnost/dopomoc)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a z hlediska 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samotné kompenzační pomůcky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Při výběru kompenzační pomůcky je vždy důležité mít na paměti, že výběr kompenzační pomůcky se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 </w:t>
      </w:r>
      <w:r w:rsidRPr="001C554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vždy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přizpůsobuje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cs-CZ"/>
        </w:rPr>
        <w:t> potřebám a možnostem klienta</w:t>
      </w:r>
      <w:r w:rsidRPr="004B0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nikoli naopak</w:t>
      </w:r>
      <w:r w:rsidRPr="001C55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FB6505" w:rsidRPr="004B0643" w:rsidRDefault="00FB6505" w:rsidP="00B300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FB6505" w:rsidRPr="001C5549" w:rsidRDefault="00FB6505" w:rsidP="00FB6505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C5549">
        <w:rPr>
          <w:color w:val="000000" w:themeColor="text1"/>
        </w:rPr>
        <w:t xml:space="preserve">V roce 2024 zakoupily Sociální služby Města Bojkovice několik nových kompenzačních pomůcek. Tyto pomůcky si mohou </w:t>
      </w:r>
      <w:r>
        <w:rPr>
          <w:color w:val="000000" w:themeColor="text1"/>
        </w:rPr>
        <w:t>uživatelé v případě, že jsou jim poskytovány základní činnosti pečovatelské služby,</w:t>
      </w:r>
      <w:r w:rsidRPr="001C5549">
        <w:rPr>
          <w:color w:val="000000" w:themeColor="text1"/>
        </w:rPr>
        <w:t xml:space="preserve"> zapůjčit.</w:t>
      </w:r>
    </w:p>
    <w:p w:rsidR="004B0643" w:rsidRPr="001C5549" w:rsidRDefault="00B30023" w:rsidP="004B064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C5549">
        <w:rPr>
          <w:color w:val="000000" w:themeColor="text1"/>
        </w:rPr>
        <w:t>Zapůjčení kompenzační pomůcky je jen jedním ze způsobů, jak můžete kompenzační pomůcku získat. </w:t>
      </w:r>
    </w:p>
    <w:p w:rsidR="004B0643" w:rsidRPr="001C5549" w:rsidRDefault="004B0643" w:rsidP="004B064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B30023" w:rsidRPr="001C5549" w:rsidRDefault="004B0643" w:rsidP="004B064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color w:val="000000" w:themeColor="text1"/>
          <w:bdr w:val="none" w:sz="0" w:space="0" w:color="auto" w:frame="1"/>
        </w:rPr>
      </w:pPr>
      <w:r w:rsidRPr="001C5549">
        <w:rPr>
          <w:rStyle w:val="Siln"/>
          <w:b w:val="0"/>
          <w:bCs w:val="0"/>
          <w:color w:val="000000" w:themeColor="text1"/>
          <w:bdr w:val="none" w:sz="0" w:space="0" w:color="auto" w:frame="1"/>
        </w:rPr>
        <w:t>D</w:t>
      </w:r>
      <w:r w:rsidR="00B30023" w:rsidRPr="001C5549">
        <w:rPr>
          <w:rStyle w:val="Siln"/>
          <w:b w:val="0"/>
          <w:bCs w:val="0"/>
          <w:color w:val="000000" w:themeColor="text1"/>
          <w:bdr w:val="none" w:sz="0" w:space="0" w:color="auto" w:frame="1"/>
        </w:rPr>
        <w:t>alší možné způsoby k získání kompenzační pomůcky jsou:</w:t>
      </w:r>
    </w:p>
    <w:p w:rsidR="004B0643" w:rsidRPr="001C5549" w:rsidRDefault="004B0643" w:rsidP="004B064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001C5549">
        <w:rPr>
          <w:rStyle w:val="Siln"/>
          <w:b w:val="0"/>
          <w:bCs w:val="0"/>
          <w:color w:val="000000" w:themeColor="text1"/>
          <w:bdr w:val="none" w:sz="0" w:space="0" w:color="auto" w:frame="1"/>
        </w:rPr>
        <w:t>1)</w:t>
      </w:r>
      <w:r w:rsidRPr="001C5549">
        <w:rPr>
          <w:b/>
          <w:bCs/>
          <w:color w:val="000000" w:themeColor="text1"/>
        </w:rPr>
        <w:t> </w:t>
      </w:r>
      <w:r w:rsidRPr="001C5549">
        <w:rPr>
          <w:color w:val="000000" w:themeColor="text1"/>
        </w:rPr>
        <w:t>Pomůcky</w:t>
      </w:r>
      <w:r w:rsidRPr="001C5549">
        <w:rPr>
          <w:b/>
          <w:bCs/>
          <w:color w:val="000000" w:themeColor="text1"/>
        </w:rPr>
        <w:t> </w:t>
      </w:r>
      <w:r w:rsidRPr="001C5549">
        <w:rPr>
          <w:rStyle w:val="Siln"/>
          <w:b w:val="0"/>
          <w:bCs w:val="0"/>
          <w:color w:val="000000" w:themeColor="text1"/>
          <w:bdr w:val="none" w:sz="0" w:space="0" w:color="auto" w:frame="1"/>
        </w:rPr>
        <w:t>hrazené plně nebo částečně z veřejného zdravotního pojištění</w:t>
      </w:r>
      <w:r w:rsidRPr="001C5549">
        <w:rPr>
          <w:b/>
          <w:bCs/>
          <w:color w:val="000000" w:themeColor="text1"/>
        </w:rPr>
        <w:t xml:space="preserve"> – </w:t>
      </w:r>
      <w:r w:rsidRPr="001C5549">
        <w:rPr>
          <w:color w:val="000000" w:themeColor="text1"/>
        </w:rPr>
        <w:t>pomůcku vám předepíše</w:t>
      </w:r>
      <w:r w:rsidRPr="001C5549">
        <w:rPr>
          <w:b/>
          <w:bCs/>
          <w:color w:val="000000" w:themeColor="text1"/>
        </w:rPr>
        <w:t xml:space="preserve"> l</w:t>
      </w:r>
      <w:r w:rsidRPr="001C5549">
        <w:rPr>
          <w:color w:val="000000" w:themeColor="text1"/>
        </w:rPr>
        <w:t>ékař</w:t>
      </w:r>
    </w:p>
    <w:p w:rsidR="004B0643" w:rsidRPr="001C5549" w:rsidRDefault="004B0643" w:rsidP="004B064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</w:rPr>
      </w:pPr>
      <w:r w:rsidRPr="001C5549">
        <w:rPr>
          <w:rStyle w:val="Siln"/>
          <w:b w:val="0"/>
          <w:bCs w:val="0"/>
          <w:color w:val="000000" w:themeColor="text1"/>
          <w:bdr w:val="none" w:sz="0" w:space="0" w:color="auto" w:frame="1"/>
        </w:rPr>
        <w:t>2)</w:t>
      </w:r>
      <w:r w:rsidRPr="001C5549">
        <w:rPr>
          <w:b/>
          <w:bCs/>
          <w:color w:val="000000" w:themeColor="text1"/>
        </w:rPr>
        <w:t> </w:t>
      </w:r>
      <w:r w:rsidRPr="001C5549">
        <w:rPr>
          <w:color w:val="000000" w:themeColor="text1"/>
        </w:rPr>
        <w:t>Pomůcky hrazené z</w:t>
      </w:r>
      <w:r w:rsidRPr="001C5549">
        <w:rPr>
          <w:b/>
          <w:bCs/>
          <w:color w:val="000000" w:themeColor="text1"/>
        </w:rPr>
        <w:t> </w:t>
      </w:r>
      <w:r w:rsidRPr="001C5549">
        <w:rPr>
          <w:rStyle w:val="Siln"/>
          <w:b w:val="0"/>
          <w:bCs w:val="0"/>
          <w:color w:val="000000" w:themeColor="text1"/>
          <w:bdr w:val="none" w:sz="0" w:space="0" w:color="auto" w:frame="1"/>
        </w:rPr>
        <w:t>Příspěvku na pořízení zvláštní pomůcky</w:t>
      </w:r>
      <w:r w:rsidRPr="001C5549">
        <w:rPr>
          <w:b/>
          <w:bCs/>
          <w:color w:val="000000" w:themeColor="text1"/>
        </w:rPr>
        <w:t xml:space="preserve"> – </w:t>
      </w:r>
      <w:r w:rsidRPr="001C5549">
        <w:rPr>
          <w:color w:val="000000" w:themeColor="text1"/>
        </w:rPr>
        <w:t>o příspěvek žádáte na Úřadu práce</w:t>
      </w:r>
    </w:p>
    <w:p w:rsidR="004B0643" w:rsidRPr="001C5549" w:rsidRDefault="00B30023" w:rsidP="004B064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1C5549">
        <w:rPr>
          <w:rStyle w:val="Siln"/>
          <w:b w:val="0"/>
          <w:bCs w:val="0"/>
          <w:color w:val="000000" w:themeColor="text1"/>
          <w:bdr w:val="none" w:sz="0" w:space="0" w:color="auto" w:frame="1"/>
        </w:rPr>
        <w:t>3</w:t>
      </w:r>
      <w:r w:rsidR="004B0643" w:rsidRPr="001C5549">
        <w:rPr>
          <w:rStyle w:val="Siln"/>
          <w:b w:val="0"/>
          <w:bCs w:val="0"/>
          <w:color w:val="000000" w:themeColor="text1"/>
          <w:bdr w:val="none" w:sz="0" w:space="0" w:color="auto" w:frame="1"/>
        </w:rPr>
        <w:t>)</w:t>
      </w:r>
      <w:r w:rsidR="004B0643" w:rsidRPr="001C5549">
        <w:rPr>
          <w:b/>
          <w:bCs/>
          <w:color w:val="000000" w:themeColor="text1"/>
        </w:rPr>
        <w:t> </w:t>
      </w:r>
      <w:r w:rsidR="004B0643" w:rsidRPr="001C5549">
        <w:rPr>
          <w:color w:val="000000" w:themeColor="text1"/>
        </w:rPr>
        <w:t>Pomůcku si</w:t>
      </w:r>
      <w:r w:rsidR="004B0643" w:rsidRPr="001C5549">
        <w:rPr>
          <w:b/>
          <w:bCs/>
          <w:color w:val="000000" w:themeColor="text1"/>
        </w:rPr>
        <w:t> </w:t>
      </w:r>
      <w:r w:rsidR="004B0643" w:rsidRPr="001C5549">
        <w:rPr>
          <w:rStyle w:val="Siln"/>
          <w:b w:val="0"/>
          <w:bCs w:val="0"/>
          <w:color w:val="000000" w:themeColor="text1"/>
          <w:bdr w:val="none" w:sz="0" w:space="0" w:color="auto" w:frame="1"/>
        </w:rPr>
        <w:t>zakoupíte sami</w:t>
      </w:r>
      <w:r w:rsidR="004B0643" w:rsidRPr="001C5549">
        <w:rPr>
          <w:b/>
          <w:bCs/>
          <w:color w:val="000000" w:themeColor="text1"/>
        </w:rPr>
        <w:t xml:space="preserve"> – </w:t>
      </w:r>
      <w:r w:rsidR="004B0643" w:rsidRPr="001C5549">
        <w:rPr>
          <w:color w:val="000000" w:themeColor="text1"/>
        </w:rPr>
        <w:t>přímo kontaktujete některého z výrobců pomůcek, nebo si zakoupíte použitou pomůcku</w:t>
      </w:r>
      <w:r w:rsidR="00FB6505">
        <w:rPr>
          <w:color w:val="000000" w:themeColor="text1"/>
        </w:rPr>
        <w:t>.</w:t>
      </w:r>
      <w:r w:rsidR="004B0643" w:rsidRPr="001C5549">
        <w:rPr>
          <w:color w:val="000000" w:themeColor="text1"/>
        </w:rPr>
        <w:t xml:space="preserve"> </w:t>
      </w:r>
    </w:p>
    <w:p w:rsidR="00634582" w:rsidRPr="001C5549" w:rsidRDefault="00634582" w:rsidP="004B064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34582" w:rsidRDefault="00634582" w:rsidP="004B064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545454"/>
        </w:rPr>
      </w:pPr>
    </w:p>
    <w:p w:rsidR="00634582" w:rsidRPr="00B30023" w:rsidRDefault="00634582" w:rsidP="004B0643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545454"/>
        </w:rPr>
      </w:pPr>
    </w:p>
    <w:p w:rsidR="00634582" w:rsidRPr="00634582" w:rsidRDefault="00D415E4" w:rsidP="0063458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</w:p>
    <w:p w:rsidR="004B0643" w:rsidRPr="004B0643" w:rsidRDefault="004B0643" w:rsidP="004B064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cs-CZ"/>
        </w:rPr>
      </w:pPr>
      <w:bookmarkStart w:id="0" w:name="_GoBack"/>
      <w:bookmarkEnd w:id="0"/>
    </w:p>
    <w:p w:rsidR="004B0643" w:rsidRPr="004B0643" w:rsidRDefault="004B0643" w:rsidP="004B064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cs-CZ"/>
        </w:rPr>
      </w:pPr>
    </w:p>
    <w:p w:rsidR="004B0643" w:rsidRPr="004B0643" w:rsidRDefault="004B0643" w:rsidP="004B064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545454"/>
          <w:sz w:val="24"/>
          <w:szCs w:val="24"/>
          <w:lang w:eastAsia="cs-CZ"/>
        </w:rPr>
      </w:pPr>
    </w:p>
    <w:p w:rsidR="004B0643" w:rsidRPr="004B0643" w:rsidRDefault="004B0643">
      <w:pPr>
        <w:rPr>
          <w:rFonts w:ascii="Times New Roman" w:hAnsi="Times New Roman" w:cs="Times New Roman"/>
          <w:sz w:val="24"/>
          <w:szCs w:val="24"/>
        </w:rPr>
      </w:pPr>
    </w:p>
    <w:sectPr w:rsidR="004B0643" w:rsidRPr="004B0643" w:rsidSect="004B0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13628"/>
    <w:multiLevelType w:val="multilevel"/>
    <w:tmpl w:val="C78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E7445"/>
    <w:multiLevelType w:val="multilevel"/>
    <w:tmpl w:val="AFF4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265AF0"/>
    <w:multiLevelType w:val="multilevel"/>
    <w:tmpl w:val="EE5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43"/>
    <w:rsid w:val="001C5549"/>
    <w:rsid w:val="004B0643"/>
    <w:rsid w:val="00521856"/>
    <w:rsid w:val="00634582"/>
    <w:rsid w:val="00B30023"/>
    <w:rsid w:val="00D415E4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E7383"/>
  <w15:chartTrackingRefBased/>
  <w15:docId w15:val="{2CCF8300-451A-495E-9659-9B5FCAA1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064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B064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4B06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</dc:creator>
  <cp:keywords/>
  <dc:description/>
  <cp:lastModifiedBy>Pokladni</cp:lastModifiedBy>
  <cp:revision>6</cp:revision>
  <cp:lastPrinted>2025-01-27T10:56:00Z</cp:lastPrinted>
  <dcterms:created xsi:type="dcterms:W3CDTF">2025-01-27T10:07:00Z</dcterms:created>
  <dcterms:modified xsi:type="dcterms:W3CDTF">2025-01-28T09:20:00Z</dcterms:modified>
</cp:coreProperties>
</file>